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825502" w14:textId="33410FAE" w:rsidR="00FE6099" w:rsidRPr="00FE6099" w:rsidRDefault="0072045E" w:rsidP="00FE6099">
      <w:pPr>
        <w:pStyle w:val="Titolocopertina"/>
        <w:ind w:left="284"/>
      </w:pPr>
      <w:r w:rsidRPr="0072045E">
        <w:t>GARA PER LA CONCLUSIONE DI UN ACCORDO QUADRO PER LA FORNITURA DI ENERGIA ELETTRICA E DEI SERVIZI CONNESSI P</w:t>
      </w:r>
      <w:r>
        <w:t>ER LE PUBBLICHE AMMINISTRAZION</w:t>
      </w:r>
      <w:r w:rsidR="00DF7D7F">
        <w:t>I</w:t>
      </w:r>
      <w:bookmarkStart w:id="0" w:name="_GoBack"/>
      <w:bookmarkEnd w:id="0"/>
    </w:p>
    <w:p w14:paraId="6503FAAD" w14:textId="77777777" w:rsidR="00FE6099" w:rsidRPr="00FE6099" w:rsidRDefault="00FE6099" w:rsidP="00FE6099">
      <w:pPr>
        <w:pStyle w:val="Titolocopertina"/>
        <w:ind w:left="284"/>
      </w:pPr>
    </w:p>
    <w:p w14:paraId="450B963B" w14:textId="0AAC2CB3" w:rsidR="00827C3B" w:rsidRPr="00FE6099" w:rsidRDefault="0072045E" w:rsidP="00FE6099">
      <w:pPr>
        <w:pStyle w:val="Titolocopertina"/>
        <w:ind w:left="284"/>
      </w:pPr>
      <w:r>
        <w:t xml:space="preserve">EDIZIONE </w:t>
      </w:r>
      <w:r w:rsidR="00FE6099" w:rsidRPr="00FE6099">
        <w:t>4</w:t>
      </w:r>
    </w:p>
    <w:p w14:paraId="73C3470E" w14:textId="77777777" w:rsidR="00BE2716" w:rsidRPr="00FE609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90BEABA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FE6099">
        <w:t xml:space="preserve">TECNICO - 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66C1957" w:rsidR="00BE2716" w:rsidRPr="00FE6099" w:rsidRDefault="0075097C" w:rsidP="00FE6099">
      <w:pPr>
        <w:spacing w:line="360" w:lineRule="auto"/>
        <w:ind w:firstLine="284"/>
        <w:rPr>
          <w:rStyle w:val="Collegamentoipertestuale"/>
          <w:i/>
        </w:rPr>
      </w:pPr>
      <w:hyperlink r:id="rId8" w:history="1">
        <w:r w:rsidR="00FE6099" w:rsidRPr="00FE6099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  <w:r w:rsidR="00FE6099" w:rsidRPr="00FE6099">
        <w:rPr>
          <w:rStyle w:val="Collegamentoipertestuale"/>
          <w:rFonts w:asciiTheme="minorHAnsi" w:hAnsiTheme="minorHAnsi" w:cs="Arial"/>
          <w:b/>
          <w:i/>
          <w:sz w:val="20"/>
          <w:szCs w:val="20"/>
        </w:rPr>
        <w:t xml:space="preserve"> </w:t>
      </w:r>
    </w:p>
    <w:p w14:paraId="6D9D1F6C" w14:textId="77777777" w:rsidR="00BE2716" w:rsidRPr="00FE6099" w:rsidRDefault="00BE2716" w:rsidP="00FE6099">
      <w:pPr>
        <w:spacing w:line="360" w:lineRule="auto"/>
        <w:ind w:firstLine="284"/>
        <w:rPr>
          <w:rStyle w:val="Collegamentoipertestuale"/>
          <w:i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C7F4154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449F2" w:rsidRPr="00501BB6">
        <w:rPr>
          <w:rFonts w:asciiTheme="minorHAnsi" w:hAnsiTheme="minorHAnsi" w:cs="Arial"/>
          <w:bCs/>
          <w:sz w:val="20"/>
          <w:szCs w:val="20"/>
        </w:rPr>
        <w:t>[</w:t>
      </w:r>
      <w:r w:rsidR="00987205" w:rsidRPr="00501BB6">
        <w:rPr>
          <w:rFonts w:asciiTheme="minorHAnsi" w:hAnsiTheme="minorHAnsi" w:cs="Arial"/>
          <w:bCs/>
          <w:sz w:val="20"/>
          <w:szCs w:val="20"/>
        </w:rPr>
        <w:t>01</w:t>
      </w:r>
      <w:r w:rsidR="008449F2" w:rsidRPr="00501BB6">
        <w:rPr>
          <w:rFonts w:asciiTheme="minorHAnsi" w:hAnsiTheme="minorHAnsi" w:cs="Arial"/>
          <w:bCs/>
          <w:sz w:val="20"/>
          <w:szCs w:val="20"/>
        </w:rPr>
        <w:t>/</w:t>
      </w:r>
      <w:r w:rsidR="00987205" w:rsidRPr="00501BB6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501BB6">
        <w:rPr>
          <w:rFonts w:asciiTheme="minorHAnsi" w:hAnsiTheme="minorHAnsi" w:cs="Arial"/>
          <w:bCs/>
          <w:sz w:val="20"/>
          <w:szCs w:val="20"/>
        </w:rPr>
        <w:t>/</w:t>
      </w:r>
      <w:r w:rsidR="00987205" w:rsidRPr="00501BB6">
        <w:rPr>
          <w:rFonts w:asciiTheme="minorHAnsi" w:hAnsiTheme="minorHAnsi" w:cs="Arial"/>
          <w:bCs/>
          <w:sz w:val="20"/>
          <w:szCs w:val="20"/>
        </w:rPr>
        <w:t>2021</w:t>
      </w:r>
      <w:r w:rsidR="008449F2" w:rsidRPr="00501BB6">
        <w:rPr>
          <w:rFonts w:asciiTheme="minorHAnsi" w:hAnsiTheme="minorHAnsi" w:cs="Arial"/>
          <w:bCs/>
          <w:sz w:val="20"/>
          <w:szCs w:val="20"/>
        </w:rPr>
        <w:t>]</w:t>
      </w:r>
    </w:p>
    <w:p w14:paraId="39370E8F" w14:textId="76BCF49A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FE6099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E609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FE6099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409BCF2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72045E" w:rsidRPr="009D62CE">
        <w:rPr>
          <w:rFonts w:asciiTheme="minorHAnsi" w:hAnsiTheme="minorHAnsi" w:cs="Arial"/>
          <w:bCs/>
          <w:sz w:val="20"/>
          <w:szCs w:val="20"/>
        </w:rPr>
        <w:t>“</w:t>
      </w:r>
      <w:r w:rsidR="0072045E" w:rsidRPr="004F7A69">
        <w:rPr>
          <w:rFonts w:asciiTheme="minorHAnsi" w:hAnsiTheme="minorHAnsi" w:cs="Arial"/>
          <w:b/>
          <w:bCs/>
          <w:sz w:val="20"/>
          <w:szCs w:val="20"/>
        </w:rPr>
        <w:t xml:space="preserve">Accordo Quadro Energia Elettrica Ed. n. </w:t>
      </w:r>
      <w:r w:rsidR="0072045E">
        <w:rPr>
          <w:rFonts w:asciiTheme="minorHAnsi" w:hAnsiTheme="minorHAnsi" w:cs="Arial"/>
          <w:b/>
          <w:bCs/>
          <w:sz w:val="20"/>
          <w:szCs w:val="20"/>
        </w:rPr>
        <w:t>4</w:t>
      </w:r>
      <w:r w:rsidR="0072045E">
        <w:rPr>
          <w:rFonts w:asciiTheme="minorHAnsi" w:hAnsiTheme="minorHAnsi" w:cs="Arial"/>
          <w:bCs/>
          <w:sz w:val="20"/>
          <w:szCs w:val="20"/>
        </w:rPr>
        <w:t xml:space="preserve">”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il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87205" w:rsidRPr="00AF4624">
        <w:rPr>
          <w:rFonts w:asciiTheme="minorHAnsi" w:hAnsiTheme="minorHAnsi" w:cs="Arial"/>
          <w:b/>
          <w:bCs/>
          <w:sz w:val="20"/>
          <w:szCs w:val="20"/>
          <w:u w:val="single"/>
        </w:rPr>
        <w:t>17</w:t>
      </w:r>
      <w:r w:rsidR="00FE6099" w:rsidRPr="00AF462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FE6099" w:rsidRPr="00501BB6">
        <w:rPr>
          <w:rFonts w:asciiTheme="minorHAnsi" w:hAnsiTheme="minorHAnsi" w:cs="Arial"/>
          <w:b/>
          <w:bCs/>
          <w:sz w:val="20"/>
          <w:szCs w:val="20"/>
          <w:u w:val="single"/>
        </w:rPr>
        <w:t>Marzo 2021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FE6099" w:rsidRPr="00ED01A5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FE6099">
        <w:rPr>
          <w:rFonts w:asciiTheme="minorHAnsi" w:hAnsiTheme="minorHAnsi" w:cstheme="minorHAnsi"/>
          <w:sz w:val="20"/>
          <w:szCs w:val="20"/>
        </w:rPr>
        <w:t xml:space="preserve">.   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3A7C7E94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58B9DF05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07F3347B" w14:textId="77777777" w:rsidR="0072045E" w:rsidRPr="00567E85" w:rsidRDefault="0072045E" w:rsidP="0072045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Consip intende bandire una gara d’appalto a procedura aperta per la conclusione di un Accordo Quadro per la fornitura di Energia Elettrica e dei servizi connessi per le Pubbliche Amministrazioni, suddivisa in lotti geografici. A seguito della gara sarà stipulato un Accordo Quadro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18310078" w14:textId="77777777" w:rsidR="0072045E" w:rsidRPr="00567E85" w:rsidRDefault="0072045E" w:rsidP="0072045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Ciascun Accordo Quadro avrà un periodo di adesione di 12 mesi eventualmente prorogabili. I singoli contratti di fornitura, a prezzo variabile, attivati dalle Pubbliche Amministrazioni mediante l’adesione all’Accordo</w:t>
      </w:r>
      <w:r>
        <w:rPr>
          <w:rFonts w:asciiTheme="minorHAnsi" w:hAnsiTheme="minorHAnsi" w:cs="Arial"/>
          <w:bCs/>
          <w:sz w:val="20"/>
          <w:szCs w:val="20"/>
        </w:rPr>
        <w:t xml:space="preserve"> Quadro, avranno una durata da 4</w:t>
      </w:r>
      <w:r w:rsidRPr="00567E85">
        <w:rPr>
          <w:rFonts w:asciiTheme="minorHAnsi" w:hAnsiTheme="minorHAnsi" w:cs="Arial"/>
          <w:bCs/>
          <w:sz w:val="20"/>
          <w:szCs w:val="20"/>
        </w:rPr>
        <w:t xml:space="preserve"> a 12 mesi.</w:t>
      </w:r>
    </w:p>
    <w:p w14:paraId="2AEBAE66" w14:textId="77777777" w:rsidR="0072045E" w:rsidRDefault="0072045E" w:rsidP="0072045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8E3860" w14:textId="77777777" w:rsidR="0072045E" w:rsidRPr="00567E85" w:rsidRDefault="0072045E" w:rsidP="0072045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Indicativamente, le singole Pubbliche Amministrazioni potranno accedere all’Accordo Quadro nei seguenti casi:</w:t>
      </w:r>
    </w:p>
    <w:p w14:paraId="211592FE" w14:textId="77777777" w:rsidR="0072045E" w:rsidRPr="00A91B01" w:rsidRDefault="0072045E" w:rsidP="0072045E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A91B01">
        <w:rPr>
          <w:rFonts w:asciiTheme="minorHAnsi" w:hAnsiTheme="minorHAnsi" w:cs="Arial"/>
          <w:bCs/>
          <w:sz w:val="20"/>
          <w:szCs w:val="20"/>
        </w:rPr>
        <w:t xml:space="preserve">In caso di non accesso, per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 xml:space="preserve">risoluzione dell’ordinativo </w:t>
      </w:r>
      <w:r w:rsidRPr="00A91B01">
        <w:rPr>
          <w:rFonts w:asciiTheme="minorHAnsi" w:hAnsiTheme="minorHAnsi" w:cs="Arial"/>
          <w:bCs/>
          <w:sz w:val="20"/>
          <w:szCs w:val="20"/>
        </w:rPr>
        <w:t xml:space="preserve">(esempio per morosità non sanata o garanzie non prestate)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>o revoca</w:t>
      </w:r>
      <w:r w:rsidRPr="00A91B01">
        <w:rPr>
          <w:rFonts w:asciiTheme="minorHAnsi" w:hAnsiTheme="minorHAnsi" w:cs="Arial"/>
          <w:bCs/>
          <w:sz w:val="20"/>
          <w:szCs w:val="20"/>
        </w:rPr>
        <w:t>, alla Convenzione per la fornitura di Energia Elettrica per tempo vigente;</w:t>
      </w:r>
    </w:p>
    <w:p w14:paraId="53B4E520" w14:textId="77777777" w:rsidR="0072045E" w:rsidRPr="00A91B01" w:rsidRDefault="0072045E" w:rsidP="0072045E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A91B01">
        <w:rPr>
          <w:rFonts w:asciiTheme="minorHAnsi" w:hAnsiTheme="minorHAnsi" w:cs="Arial"/>
          <w:bCs/>
          <w:sz w:val="20"/>
          <w:szCs w:val="20"/>
        </w:rPr>
        <w:t xml:space="preserve">In caso di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 xml:space="preserve">lotto non attivo della relativa Convenzione </w:t>
      </w:r>
      <w:r w:rsidRPr="00A91B01">
        <w:rPr>
          <w:rFonts w:asciiTheme="minorHAnsi" w:hAnsiTheme="minorHAnsi" w:cs="Arial"/>
          <w:bCs/>
          <w:sz w:val="20"/>
          <w:szCs w:val="20"/>
        </w:rPr>
        <w:t>(es. scadenza temporale, esaurimento massimale) limitatamente all’area geografica di riferimento.</w:t>
      </w:r>
    </w:p>
    <w:p w14:paraId="5DC6E812" w14:textId="77777777" w:rsidR="0072045E" w:rsidRDefault="0072045E" w:rsidP="0072045E">
      <w:pPr>
        <w:spacing w:line="276" w:lineRule="auto"/>
        <w:ind w:firstLine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C1E683" w14:textId="77777777" w:rsidR="0072045E" w:rsidRPr="00567E85" w:rsidRDefault="0072045E" w:rsidP="0072045E">
      <w:pPr>
        <w:spacing w:line="276" w:lineRule="auto"/>
        <w:ind w:firstLine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In merito ai singoli lotti geografici che verranno individuati si precisa che:</w:t>
      </w:r>
    </w:p>
    <w:p w14:paraId="53B4FF9D" w14:textId="77777777" w:rsidR="0072045E" w:rsidRPr="00567E85" w:rsidRDefault="0072045E" w:rsidP="0072045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il quantitativo posto come massimale del singolo lotto non è garantito;</w:t>
      </w:r>
    </w:p>
    <w:p w14:paraId="61BF0393" w14:textId="77777777" w:rsidR="0072045E" w:rsidRPr="00567E85" w:rsidRDefault="0072045E" w:rsidP="0072045E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70000DC4" w14:textId="7C3492DD" w:rsidR="00FE6099" w:rsidRDefault="00FE6099" w:rsidP="00FE60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C3C648" w14:textId="0FB07AB7" w:rsidR="00FA737A" w:rsidRDefault="00FA737A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00608AB0" w14:textId="0C1EB3DB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10E68FDC" w14:textId="06B4C5AC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600FFC59" w14:textId="39DE458B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1F1EABA2" w14:textId="740332BD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39BE6ACE" w14:textId="5B7BA685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D99B963" w14:textId="7EFC2349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Domande </w:t>
      </w:r>
    </w:p>
    <w:p w14:paraId="0CB176C2" w14:textId="0D645D39" w:rsidR="00FE6099" w:rsidRPr="00FE6099" w:rsidRDefault="0072045E" w:rsidP="0072045E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72045E">
        <w:rPr>
          <w:rFonts w:asciiTheme="minorHAnsi" w:hAnsiTheme="minorHAnsi" w:cs="Arial"/>
          <w:bCs/>
          <w:sz w:val="20"/>
          <w:szCs w:val="20"/>
        </w:rPr>
        <w:t xml:space="preserve">Rispetto all’iniziativa in oggetto, Accordo Quadro Energia Elettrica Ed. n. </w:t>
      </w:r>
      <w:r>
        <w:rPr>
          <w:rFonts w:asciiTheme="minorHAnsi" w:hAnsiTheme="minorHAnsi" w:cs="Arial"/>
          <w:bCs/>
          <w:sz w:val="20"/>
          <w:szCs w:val="20"/>
        </w:rPr>
        <w:t>4</w:t>
      </w:r>
      <w:r w:rsidRPr="0072045E">
        <w:rPr>
          <w:rFonts w:asciiTheme="minorHAnsi" w:hAnsiTheme="minorHAnsi" w:cs="Arial"/>
          <w:bCs/>
          <w:sz w:val="20"/>
          <w:szCs w:val="20"/>
        </w:rPr>
        <w:t xml:space="preserve"> (le cui caratteristiche principali sono riportate nella breve descrizione sopra fornita), sarebbe interessato a partecipare alla gara? In caso negativo quali sono le principali motivazioni e quali potrebbero essere le soluzioni da adottare per rendere di vostro maggior interesse l’iniziativa?</w:t>
      </w:r>
      <w:r w:rsidR="00FE6099" w:rsidRPr="00FE6099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501BB6" w:rsidRDefault="00FA737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DD5CBE" w14:textId="3207EDBE" w:rsidR="00D61502" w:rsidRPr="00D61502" w:rsidRDefault="00D61502" w:rsidP="00503393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01BB6">
        <w:rPr>
          <w:rFonts w:asciiTheme="minorHAnsi" w:hAnsiTheme="minorHAnsi" w:cs="Arial"/>
          <w:bCs/>
          <w:sz w:val="20"/>
          <w:szCs w:val="20"/>
        </w:rPr>
        <w:t xml:space="preserve">Indicare il fatturato dell’azienda per la fornitura di </w:t>
      </w:r>
      <w:r w:rsidR="0072045E" w:rsidRPr="00501BB6">
        <w:rPr>
          <w:rFonts w:asciiTheme="minorHAnsi" w:hAnsiTheme="minorHAnsi" w:cs="Arial"/>
          <w:bCs/>
          <w:sz w:val="20"/>
          <w:szCs w:val="20"/>
        </w:rPr>
        <w:t>energia elettrica</w:t>
      </w:r>
      <w:r w:rsidRPr="00501BB6">
        <w:rPr>
          <w:rFonts w:asciiTheme="minorHAnsi" w:hAnsiTheme="minorHAnsi" w:cs="Arial"/>
          <w:bCs/>
          <w:sz w:val="20"/>
          <w:szCs w:val="20"/>
        </w:rPr>
        <w:t xml:space="preserve"> relativo agli ultimi tre esercizi finanziari </w:t>
      </w:r>
      <w:r w:rsidRPr="00D61502">
        <w:rPr>
          <w:rFonts w:asciiTheme="minorHAnsi" w:hAnsiTheme="minorHAnsi" w:cs="Arial"/>
          <w:bCs/>
          <w:sz w:val="20"/>
          <w:szCs w:val="20"/>
        </w:rPr>
        <w:t>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56D171BA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AE6123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3B9E7F" w14:textId="5229823D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0B5AEC2" w14:textId="108654A2" w:rsidR="00D61502" w:rsidRDefault="00D61502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</w:t>
      </w:r>
      <w:r>
        <w:rPr>
          <w:rFonts w:asciiTheme="minorHAnsi" w:hAnsiTheme="minorHAnsi" w:cs="Arial"/>
          <w:bCs/>
          <w:sz w:val="20"/>
          <w:szCs w:val="20"/>
        </w:rPr>
        <w:t xml:space="preserve">di fornitura di </w:t>
      </w:r>
      <w:r w:rsidR="0072045E">
        <w:rPr>
          <w:rFonts w:asciiTheme="minorHAnsi" w:hAnsiTheme="minorHAnsi" w:cs="Arial"/>
          <w:bCs/>
          <w:sz w:val="20"/>
          <w:szCs w:val="20"/>
        </w:rPr>
        <w:t>energia elettrica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deriva da contratti stipulati con la PA?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2C870A89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FDED5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C1DE59" w14:textId="77777777" w:rsidR="00D61502" w:rsidRDefault="00D61502" w:rsidP="00D61502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C38F5E" w14:textId="6F1AB5EB" w:rsidR="00D61502" w:rsidRDefault="00D61502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numero di dipendenti dell’azienda nei tre anni precedenti alla pubblicazione del </w:t>
      </w:r>
      <w:r w:rsidRPr="00FA34AF">
        <w:rPr>
          <w:rFonts w:asciiTheme="minorHAnsi" w:hAnsiTheme="minorHAnsi" w:cs="Arial"/>
          <w:bCs/>
          <w:sz w:val="20"/>
          <w:szCs w:val="20"/>
        </w:rPr>
        <w:t>presente 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28008E24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5FF9D8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76463D" w14:textId="1643654B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33A480" w14:textId="5D2EAA1C" w:rsidR="00D61502" w:rsidRPr="00EF0D43" w:rsidRDefault="0072045E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lastRenderedPageBreak/>
        <w:t>Con riferimento alla precedente edizione dell’iniziativa (ww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w.acquistiretepa.it &gt; Acquista</w:t>
      </w: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&gt; Accordi Quadro &gt; Energia Elettrica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3</w:t>
      </w: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), ad oggi quali ritenete siano i pregi e le criticità? </w:t>
      </w:r>
      <w:r w:rsidR="00D61502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4EBD3991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23AA44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291A1F3" w14:textId="2FDEEC61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AA277A" w14:textId="02BC20A2" w:rsidR="005919DB" w:rsidRPr="005919DB" w:rsidRDefault="0072045E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0659A0">
        <w:rPr>
          <w:rFonts w:asciiTheme="minorHAnsi" w:hAnsiTheme="minorHAnsi" w:cs="Arial"/>
          <w:bCs/>
          <w:sz w:val="20"/>
          <w:szCs w:val="20"/>
        </w:rPr>
        <w:t>Siete a conoscenza di eventuali prossimi mu</w:t>
      </w:r>
      <w:r w:rsidR="00DD604C">
        <w:rPr>
          <w:rFonts w:asciiTheme="minorHAnsi" w:hAnsiTheme="minorHAnsi" w:cs="Arial"/>
          <w:bCs/>
          <w:sz w:val="20"/>
          <w:szCs w:val="20"/>
        </w:rPr>
        <w:t>tamenti di carattere normativo e/o</w:t>
      </w:r>
      <w:r w:rsidRPr="000659A0">
        <w:rPr>
          <w:rFonts w:asciiTheme="minorHAnsi" w:hAnsiTheme="minorHAnsi" w:cs="Arial"/>
          <w:bCs/>
          <w:sz w:val="20"/>
          <w:szCs w:val="20"/>
        </w:rPr>
        <w:t xml:space="preserve"> regolatorio, in particolare per il Servizio di Salvaguardia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59A0">
        <w:rPr>
          <w:rFonts w:asciiTheme="minorHAnsi" w:hAnsiTheme="minorHAnsi" w:cs="Arial"/>
          <w:bCs/>
          <w:sz w:val="20"/>
          <w:szCs w:val="20"/>
        </w:rPr>
        <w:t>che potrebbero influire sulla partecipazione alla gara</w:t>
      </w:r>
      <w:r>
        <w:rPr>
          <w:rFonts w:asciiTheme="minorHAnsi" w:hAnsiTheme="minorHAnsi" w:cs="Arial"/>
          <w:bCs/>
          <w:sz w:val="20"/>
          <w:szCs w:val="20"/>
        </w:rPr>
        <w:t xml:space="preserve"> anche alla luce del termine del servizio di maggior tutela</w:t>
      </w:r>
      <w:r w:rsidRPr="000659A0">
        <w:rPr>
          <w:rFonts w:asciiTheme="minorHAnsi" w:hAnsiTheme="minorHAnsi" w:cs="Arial"/>
          <w:bCs/>
          <w:sz w:val="20"/>
          <w:szCs w:val="20"/>
        </w:rPr>
        <w:t>? Se si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19DB" w14:paraId="6203E73D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96A34F" w14:textId="77777777" w:rsidR="005919DB" w:rsidRDefault="005919DB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82783E" w14:textId="77777777" w:rsidR="005919DB" w:rsidRPr="005919DB" w:rsidRDefault="005919DB" w:rsidP="005919DB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4BF083" w14:textId="6DD255EC" w:rsidR="005919DB" w:rsidRPr="005919DB" w:rsidRDefault="0072045E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Rispetto all’attuale sistema di pricing </w:t>
      </w:r>
      <w:r w:rsidRPr="00752457">
        <w:rPr>
          <w:rFonts w:asciiTheme="minorHAnsi" w:hAnsiTheme="minorHAnsi" w:cs="Arial"/>
          <w:bCs/>
          <w:sz w:val="20"/>
          <w:szCs w:val="20"/>
        </w:rPr>
        <w:t>(</w:t>
      </w:r>
      <w:r w:rsidRPr="00752457">
        <w:rPr>
          <w:rFonts w:asciiTheme="minorHAnsi" w:hAnsiTheme="minorHAnsi" w:cs="Arial"/>
          <w:bCs/>
          <w:i/>
          <w:sz w:val="20"/>
          <w:szCs w:val="20"/>
        </w:rPr>
        <w:t xml:space="preserve">Prezzo medio di acquisto per fasce orarie del MPE-MGP + </w:t>
      </w:r>
      <w:r w:rsidR="00FC0F0C" w:rsidRPr="00752457">
        <w:rPr>
          <w:rFonts w:asciiTheme="minorHAnsi" w:hAnsiTheme="minorHAnsi" w:cs="Arial"/>
          <w:bCs/>
          <w:i/>
          <w:sz w:val="20"/>
          <w:szCs w:val="20"/>
        </w:rPr>
        <w:t>spread</w:t>
      </w:r>
      <w:r w:rsidRPr="00752457">
        <w:rPr>
          <w:rFonts w:asciiTheme="minorHAnsi" w:hAnsiTheme="minorHAnsi" w:cs="Arial"/>
          <w:bCs/>
          <w:i/>
          <w:sz w:val="20"/>
          <w:szCs w:val="20"/>
        </w:rPr>
        <w:t xml:space="preserve"> offerto),</w:t>
      </w:r>
      <w:r>
        <w:rPr>
          <w:rFonts w:asciiTheme="minorHAnsi" w:hAnsiTheme="minorHAnsi" w:cs="Arial"/>
          <w:bCs/>
          <w:sz w:val="20"/>
          <w:szCs w:val="20"/>
        </w:rPr>
        <w:t xml:space="preserve"> riscontrate criticità particolari?</w:t>
      </w:r>
      <w:r w:rsidR="005919DB" w:rsidRPr="005919DB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19DB" w14:paraId="52262A60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63DD1B" w14:textId="77777777" w:rsidR="005919DB" w:rsidRDefault="005919DB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B3A3FBE" w14:textId="1B4A8FC3" w:rsidR="005919DB" w:rsidRDefault="005919DB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D909280" w14:textId="77777777" w:rsidR="005D7513" w:rsidRPr="009D62CE" w:rsidRDefault="005D7513" w:rsidP="005D751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 Consip è intenzionata a prevedere espressamente la possibilità per le PA di richiedere </w:t>
      </w:r>
      <w:r>
        <w:rPr>
          <w:rFonts w:asciiTheme="minorHAnsi" w:hAnsiTheme="minorHAnsi" w:cs="Arial"/>
          <w:bCs/>
          <w:sz w:val="20"/>
          <w:szCs w:val="20"/>
        </w:rPr>
        <w:t>volture (v</w:t>
      </w:r>
      <w:r w:rsidRPr="0089157D">
        <w:rPr>
          <w:rFonts w:asciiTheme="minorHAnsi" w:hAnsiTheme="minorHAnsi" w:cs="Arial"/>
          <w:bCs/>
          <w:sz w:val="20"/>
          <w:szCs w:val="20"/>
        </w:rPr>
        <w:t>ariazione della titolarità di una fornitura da un cliente ad un altro</w:t>
      </w:r>
      <w:r>
        <w:rPr>
          <w:rFonts w:asciiTheme="minorHAnsi" w:hAnsiTheme="minorHAnsi" w:cs="Arial"/>
          <w:bCs/>
          <w:sz w:val="20"/>
          <w:szCs w:val="20"/>
        </w:rPr>
        <w:t xml:space="preserve">). Quali casistiche e quali 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criticità </w:t>
      </w:r>
      <w:r>
        <w:rPr>
          <w:rFonts w:asciiTheme="minorHAnsi" w:hAnsiTheme="minorHAnsi" w:cs="Arial"/>
          <w:bCs/>
          <w:sz w:val="20"/>
          <w:szCs w:val="20"/>
        </w:rPr>
        <w:t>avete riscontrato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nella gestione delle stesse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D7513" w14:paraId="6924EF4F" w14:textId="77777777" w:rsidTr="0044165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E511F26" w14:textId="77777777" w:rsidR="005D7513" w:rsidRDefault="005D7513" w:rsidP="0044165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79E23E" w14:textId="71DAA44C" w:rsidR="005D7513" w:rsidRDefault="005D7513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BDDE2FB" w14:textId="1ED4D762" w:rsidR="005D7513" w:rsidRDefault="005D7513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657857E" w14:textId="77777777" w:rsidR="005D7513" w:rsidRDefault="005D7513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4BBD298" w14:textId="77777777" w:rsidR="005D7513" w:rsidRDefault="005D7513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1BBA16F5" w14:textId="1A5F2B89" w:rsidR="00D61502" w:rsidRPr="00636E73" w:rsidRDefault="0072045E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lastRenderedPageBreak/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05514F35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D5134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1F02AF" w14:textId="7AEE94D5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71172D" w:rsidRPr="0071172D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71172D" w:rsidRDefault="00BF387E" w:rsidP="00C75B3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71172D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DDBD" w14:textId="77777777" w:rsidR="0075097C" w:rsidRDefault="0075097C">
      <w:r>
        <w:separator/>
      </w:r>
    </w:p>
  </w:endnote>
  <w:endnote w:type="continuationSeparator" w:id="0">
    <w:p w14:paraId="403C0B0F" w14:textId="77777777" w:rsidR="0075097C" w:rsidRDefault="0075097C">
      <w:r>
        <w:continuationSeparator/>
      </w:r>
    </w:p>
  </w:endnote>
  <w:endnote w:type="continuationNotice" w:id="1">
    <w:p w14:paraId="235FF9A5" w14:textId="77777777" w:rsidR="0075097C" w:rsidRDefault="0075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81AD" w14:textId="77777777" w:rsidR="0072045E" w:rsidRDefault="005919DB" w:rsidP="0072045E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 w:rsidRPr="00FE6099">
      <w:rPr>
        <w:rFonts w:ascii="Calibri" w:hAnsi="Calibri"/>
        <w:iCs/>
        <w:noProof/>
        <w:color w:val="C0C0C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1F1279E8">
              <wp:simplePos x="0" y="0"/>
              <wp:positionH relativeFrom="column">
                <wp:posOffset>4716366</wp:posOffset>
              </wp:positionH>
              <wp:positionV relativeFrom="paragraph">
                <wp:posOffset>29320</wp:posOffset>
              </wp:positionV>
              <wp:extent cx="779228" cy="274320"/>
              <wp:effectExtent l="0" t="0" r="190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28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C7CF370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7D7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7D7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35pt;margin-top:2.3pt;width:61.3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" stroked="f">
              <v:textbox>
                <w:txbxContent>
                  <w:p w14:paraId="3C0DE10B" w14:textId="2C7CF370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F7D7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F7D7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FE6099" w:rsidRPr="00FE6099">
      <w:rPr>
        <w:rFonts w:ascii="Calibri" w:hAnsi="Calibri"/>
        <w:iCs/>
        <w:color w:val="C0C0C0"/>
        <w:sz w:val="16"/>
        <w:szCs w:val="16"/>
      </w:rPr>
      <w:t xml:space="preserve"> Consultazione del mercato per la gara </w:t>
    </w:r>
    <w:r w:rsidR="0072045E">
      <w:rPr>
        <w:rFonts w:asciiTheme="minorHAnsi" w:hAnsiTheme="minorHAnsi"/>
        <w:iCs/>
        <w:color w:val="C0C0C0"/>
        <w:sz w:val="16"/>
        <w:szCs w:val="16"/>
      </w:rPr>
      <w:t xml:space="preserve">la conclusione di un accordo quadro per la fornitura </w:t>
    </w:r>
  </w:p>
  <w:p w14:paraId="18A61727" w14:textId="60E7B571" w:rsidR="006726F6" w:rsidRPr="00FE6099" w:rsidRDefault="0072045E" w:rsidP="0072045E">
    <w:pPr>
      <w:pStyle w:val="Pidipagina"/>
      <w:pBdr>
        <w:top w:val="single" w:sz="4" w:space="1" w:color="auto"/>
      </w:pBdr>
      <w:rPr>
        <w:rFonts w:ascii="Calibri" w:hAnsi="Calibri"/>
        <w:iCs/>
        <w:color w:val="C0C0C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di energia elettrica e dei servizi connessi per le Pubbliche Amministrazioni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0501586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9F6C" w14:textId="77777777" w:rsidR="0075097C" w:rsidRDefault="0075097C">
      <w:r>
        <w:separator/>
      </w:r>
    </w:p>
  </w:footnote>
  <w:footnote w:type="continuationSeparator" w:id="0">
    <w:p w14:paraId="4B80D95E" w14:textId="77777777" w:rsidR="0075097C" w:rsidRDefault="0075097C">
      <w:r>
        <w:continuationSeparator/>
      </w:r>
    </w:p>
  </w:footnote>
  <w:footnote w:type="continuationNotice" w:id="1">
    <w:p w14:paraId="42031906" w14:textId="77777777" w:rsidR="0075097C" w:rsidRDefault="0075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182A25FF"/>
    <w:multiLevelType w:val="hybridMultilevel"/>
    <w:tmpl w:val="D3DC155A"/>
    <w:lvl w:ilvl="0" w:tplc="B7D032B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A44DFC"/>
    <w:multiLevelType w:val="hybridMultilevel"/>
    <w:tmpl w:val="28FA89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0365A1"/>
    <w:multiLevelType w:val="hybridMultilevel"/>
    <w:tmpl w:val="7B48E516"/>
    <w:lvl w:ilvl="0" w:tplc="0410000F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decimal"/>
      <w:pStyle w:val="ConvC1"/>
      <w:lvlText w:val="%2."/>
      <w:lvlJc w:val="left"/>
      <w:pPr>
        <w:tabs>
          <w:tab w:val="num" w:pos="2236"/>
        </w:tabs>
        <w:ind w:left="2236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6" w15:restartNumberingAfterBreak="0">
    <w:nsid w:val="56A23BF0"/>
    <w:multiLevelType w:val="hybridMultilevel"/>
    <w:tmpl w:val="670EF43E"/>
    <w:lvl w:ilvl="0" w:tplc="A13610FC">
      <w:numFmt w:val="bullet"/>
      <w:lvlText w:val="•"/>
      <w:lvlJc w:val="left"/>
      <w:pPr>
        <w:ind w:left="987" w:hanging="419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22355E"/>
    <w:multiLevelType w:val="hybridMultilevel"/>
    <w:tmpl w:val="EF66C0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93F93"/>
    <w:multiLevelType w:val="hybridMultilevel"/>
    <w:tmpl w:val="5AFE39EE"/>
    <w:lvl w:ilvl="0" w:tplc="A13610FC">
      <w:numFmt w:val="bullet"/>
      <w:lvlText w:val="•"/>
      <w:lvlJc w:val="left"/>
      <w:pPr>
        <w:ind w:left="987" w:hanging="419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B52DCF"/>
    <w:multiLevelType w:val="hybridMultilevel"/>
    <w:tmpl w:val="8494C9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66B22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2F79F9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11F3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34C8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5967"/>
    <w:rsid w:val="00400345"/>
    <w:rsid w:val="00403933"/>
    <w:rsid w:val="00411E26"/>
    <w:rsid w:val="004130CF"/>
    <w:rsid w:val="00414DA3"/>
    <w:rsid w:val="00425CAA"/>
    <w:rsid w:val="00446695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19CD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1BB6"/>
    <w:rsid w:val="005026ED"/>
    <w:rsid w:val="00503393"/>
    <w:rsid w:val="0051129F"/>
    <w:rsid w:val="0051181E"/>
    <w:rsid w:val="00514EB8"/>
    <w:rsid w:val="00521C42"/>
    <w:rsid w:val="00526064"/>
    <w:rsid w:val="00527B71"/>
    <w:rsid w:val="00542D14"/>
    <w:rsid w:val="00543610"/>
    <w:rsid w:val="00547DFA"/>
    <w:rsid w:val="00552240"/>
    <w:rsid w:val="005539BB"/>
    <w:rsid w:val="00554051"/>
    <w:rsid w:val="00556F2F"/>
    <w:rsid w:val="00557FCE"/>
    <w:rsid w:val="00561A7D"/>
    <w:rsid w:val="00562392"/>
    <w:rsid w:val="00562496"/>
    <w:rsid w:val="00571B75"/>
    <w:rsid w:val="00573E32"/>
    <w:rsid w:val="00585ECE"/>
    <w:rsid w:val="00590AF7"/>
    <w:rsid w:val="005919DB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513"/>
    <w:rsid w:val="005D77D5"/>
    <w:rsid w:val="005E0D8C"/>
    <w:rsid w:val="005E15BE"/>
    <w:rsid w:val="005E4AF4"/>
    <w:rsid w:val="005E5464"/>
    <w:rsid w:val="005F0AF9"/>
    <w:rsid w:val="005F0EBA"/>
    <w:rsid w:val="005F6770"/>
    <w:rsid w:val="0060160B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2D"/>
    <w:rsid w:val="007117DC"/>
    <w:rsid w:val="007144D3"/>
    <w:rsid w:val="00717509"/>
    <w:rsid w:val="0072045E"/>
    <w:rsid w:val="00721445"/>
    <w:rsid w:val="0072167D"/>
    <w:rsid w:val="00725E38"/>
    <w:rsid w:val="00726700"/>
    <w:rsid w:val="00735A27"/>
    <w:rsid w:val="007458B2"/>
    <w:rsid w:val="00745A79"/>
    <w:rsid w:val="00747F94"/>
    <w:rsid w:val="0075097C"/>
    <w:rsid w:val="00752457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890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0FE"/>
    <w:rsid w:val="00952F86"/>
    <w:rsid w:val="00953399"/>
    <w:rsid w:val="00955FB5"/>
    <w:rsid w:val="009615FF"/>
    <w:rsid w:val="00962189"/>
    <w:rsid w:val="00985C47"/>
    <w:rsid w:val="00986F3A"/>
    <w:rsid w:val="00987205"/>
    <w:rsid w:val="00991CA4"/>
    <w:rsid w:val="009B0ED5"/>
    <w:rsid w:val="009B2122"/>
    <w:rsid w:val="009B4DEC"/>
    <w:rsid w:val="009C037A"/>
    <w:rsid w:val="009C1D3E"/>
    <w:rsid w:val="009C25F2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6BE8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14C1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4624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547D"/>
    <w:rsid w:val="00BA71F1"/>
    <w:rsid w:val="00BB0D9F"/>
    <w:rsid w:val="00BB3CC6"/>
    <w:rsid w:val="00BB3D28"/>
    <w:rsid w:val="00BB4433"/>
    <w:rsid w:val="00BC1A12"/>
    <w:rsid w:val="00BC2589"/>
    <w:rsid w:val="00BC464F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16A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2B42"/>
    <w:rsid w:val="00D46602"/>
    <w:rsid w:val="00D47394"/>
    <w:rsid w:val="00D51DD6"/>
    <w:rsid w:val="00D56EE3"/>
    <w:rsid w:val="00D578EC"/>
    <w:rsid w:val="00D61502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D604C"/>
    <w:rsid w:val="00DE040F"/>
    <w:rsid w:val="00DE4F5D"/>
    <w:rsid w:val="00DF48E3"/>
    <w:rsid w:val="00DF7D7F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42E6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180"/>
    <w:rsid w:val="00F47F03"/>
    <w:rsid w:val="00F617B0"/>
    <w:rsid w:val="00F63E78"/>
    <w:rsid w:val="00F64486"/>
    <w:rsid w:val="00F64525"/>
    <w:rsid w:val="00F6473D"/>
    <w:rsid w:val="00F73694"/>
    <w:rsid w:val="00F85106"/>
    <w:rsid w:val="00F8539B"/>
    <w:rsid w:val="00FA2E9A"/>
    <w:rsid w:val="00FA737A"/>
    <w:rsid w:val="00FB65C2"/>
    <w:rsid w:val="00FC0F0C"/>
    <w:rsid w:val="00FC1797"/>
    <w:rsid w:val="00FC1CDD"/>
    <w:rsid w:val="00FC3387"/>
    <w:rsid w:val="00FD0F07"/>
    <w:rsid w:val="00FD2BA6"/>
    <w:rsid w:val="00FD61A6"/>
    <w:rsid w:val="00FE1BAC"/>
    <w:rsid w:val="00FE6099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ConvC1">
    <w:name w:val="ConvC1"/>
    <w:basedOn w:val="Normale"/>
    <w:rsid w:val="00BA547D"/>
    <w:pPr>
      <w:widowControl w:val="0"/>
      <w:numPr>
        <w:ilvl w:val="1"/>
        <w:numId w:val="5"/>
      </w:numPr>
      <w:tabs>
        <w:tab w:val="left" w:pos="397"/>
      </w:tabs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27B1-344B-4E78-818D-85B83333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2021-02-04T08:30:00Z</dcterms:created>
  <dcterms:modified xsi:type="dcterms:W3CDTF">2021-03-01T09:51:00Z</dcterms:modified>
</cp:coreProperties>
</file>